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7E" w:rsidRPr="00FC007E" w:rsidRDefault="00FC007E" w:rsidP="00FC007E">
      <w:pPr>
        <w:spacing w:line="240" w:lineRule="atLeast"/>
        <w:outlineLvl w:val="0"/>
        <w:rPr>
          <w:rFonts w:ascii="DINDINBOLDTRAM" w:eastAsia="Times New Roman" w:hAnsi="DINDINBOLDTRAM" w:cs="Times New Roman"/>
          <w:caps/>
          <w:color w:val="0091D2"/>
          <w:kern w:val="36"/>
          <w:sz w:val="72"/>
          <w:szCs w:val="72"/>
          <w:lang w:eastAsia="fr-FR"/>
        </w:rPr>
      </w:pPr>
      <w:r w:rsidRPr="00FC007E">
        <w:rPr>
          <w:rFonts w:ascii="DINDINBOLDTRAM" w:eastAsia="Times New Roman" w:hAnsi="DINDINBOLDTRAM" w:cs="Times New Roman"/>
          <w:caps/>
          <w:color w:val="0091D2"/>
          <w:kern w:val="36"/>
          <w:sz w:val="72"/>
          <w:szCs w:val="72"/>
          <w:lang w:eastAsia="fr-FR"/>
        </w:rPr>
        <w:t>APPEL À PROJETS DE PARTENARIAT INSTITUTIONNEL - PROFAS C+</w:t>
      </w:r>
    </w:p>
    <w:p w:rsidR="00FC007E" w:rsidRPr="00FC007E" w:rsidRDefault="00FC007E" w:rsidP="00FC007E">
      <w:pPr>
        <w:shd w:val="clear" w:color="auto" w:fill="FFFFFF"/>
        <w:spacing w:line="240" w:lineRule="auto"/>
        <w:rPr>
          <w:rFonts w:ascii="Verdana" w:eastAsia="Times New Roman" w:hAnsi="Verdana" w:cs="Times New Roman"/>
          <w:b/>
          <w:bCs/>
          <w:color w:val="0091D2"/>
          <w:sz w:val="31"/>
          <w:szCs w:val="31"/>
          <w:lang w:eastAsia="fr-FR"/>
        </w:rPr>
      </w:pPr>
      <w:r w:rsidRPr="00FC007E">
        <w:rPr>
          <w:rFonts w:ascii="Verdana" w:eastAsia="Times New Roman" w:hAnsi="Verdana" w:cs="Times New Roman"/>
          <w:b/>
          <w:bCs/>
          <w:color w:val="0091D2"/>
          <w:sz w:val="31"/>
          <w:szCs w:val="31"/>
          <w:lang w:eastAsia="fr-FR"/>
        </w:rPr>
        <w:t xml:space="preserve">L'Ambassade de France en Algérie et le ministère des affaires étrangères </w:t>
      </w:r>
      <w:proofErr w:type="gramStart"/>
      <w:r w:rsidRPr="00FC007E">
        <w:rPr>
          <w:rFonts w:ascii="Verdana" w:eastAsia="Times New Roman" w:hAnsi="Verdana" w:cs="Times New Roman"/>
          <w:b/>
          <w:bCs/>
          <w:color w:val="0091D2"/>
          <w:sz w:val="31"/>
          <w:szCs w:val="31"/>
          <w:lang w:eastAsia="fr-FR"/>
        </w:rPr>
        <w:t>algérien</w:t>
      </w:r>
      <w:proofErr w:type="gramEnd"/>
      <w:r w:rsidRPr="00FC007E">
        <w:rPr>
          <w:rFonts w:ascii="Verdana" w:eastAsia="Times New Roman" w:hAnsi="Verdana" w:cs="Times New Roman"/>
          <w:b/>
          <w:bCs/>
          <w:color w:val="0091D2"/>
          <w:sz w:val="31"/>
          <w:szCs w:val="31"/>
          <w:lang w:eastAsia="fr-FR"/>
        </w:rPr>
        <w:t xml:space="preserve"> lancent leur programme annuel d'appui aux projets de partenariat institutionnel </w:t>
      </w:r>
      <w:proofErr w:type="spellStart"/>
      <w:r w:rsidRPr="00FC007E">
        <w:rPr>
          <w:rFonts w:ascii="Verdana" w:eastAsia="Times New Roman" w:hAnsi="Verdana" w:cs="Times New Roman"/>
          <w:b/>
          <w:bCs/>
          <w:color w:val="0091D2"/>
          <w:sz w:val="31"/>
          <w:szCs w:val="31"/>
          <w:lang w:eastAsia="fr-FR"/>
        </w:rPr>
        <w:t>algéro</w:t>
      </w:r>
      <w:proofErr w:type="spellEnd"/>
      <w:r w:rsidRPr="00FC007E">
        <w:rPr>
          <w:rFonts w:ascii="Verdana" w:eastAsia="Times New Roman" w:hAnsi="Verdana" w:cs="Times New Roman"/>
          <w:b/>
          <w:bCs/>
          <w:color w:val="0091D2"/>
          <w:sz w:val="31"/>
          <w:szCs w:val="31"/>
          <w:lang w:eastAsia="fr-FR"/>
        </w:rPr>
        <w:t>-français. Candidatures ouvertes jusqu'au 23 juillet.</w:t>
      </w:r>
    </w:p>
    <w:p w:rsidR="00FC007E" w:rsidRPr="00FC007E" w:rsidRDefault="00FC007E" w:rsidP="00FC007E">
      <w:pPr>
        <w:spacing w:after="0" w:line="240" w:lineRule="auto"/>
        <w:rPr>
          <w:rFonts w:ascii="Verdana" w:eastAsia="Times New Roman" w:hAnsi="Verdana" w:cs="Times New Roman"/>
          <w:color w:val="000000"/>
          <w:sz w:val="24"/>
          <w:szCs w:val="24"/>
          <w:lang w:eastAsia="fr-FR"/>
        </w:rPr>
      </w:pPr>
      <w:r>
        <w:rPr>
          <w:rFonts w:ascii="Verdana" w:eastAsia="Times New Roman" w:hAnsi="Verdana" w:cs="Times New Roman"/>
          <w:noProof/>
          <w:color w:val="0000FF"/>
          <w:sz w:val="24"/>
          <w:szCs w:val="24"/>
          <w:bdr w:val="none" w:sz="0" w:space="0" w:color="auto" w:frame="1"/>
          <w:lang w:eastAsia="fr-FR"/>
        </w:rPr>
        <w:drawing>
          <wp:inline distT="0" distB="0" distL="0" distR="0">
            <wp:extent cx="1905000" cy="1143000"/>
            <wp:effectExtent l="19050" t="0" r="0" b="0"/>
            <wp:docPr id="1" name="Image 1" descr="Appel à projets de partenariat institutionnel - PROFAS 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el à projets de partenariat institutionnel - PROFAS C+">
                      <a:hlinkClick r:id="rId5"/>
                    </pic:cNvPr>
                    <pic:cNvPicPr>
                      <a:picLocks noChangeAspect="1" noChangeArrowheads="1"/>
                    </pic:cNvPicPr>
                  </pic:nvPicPr>
                  <pic:blipFill>
                    <a:blip r:embed="rId6"/>
                    <a:srcRect/>
                    <a:stretch>
                      <a:fillRect/>
                    </a:stretch>
                  </pic:blipFill>
                  <pic:spPr bwMode="auto">
                    <a:xfrm>
                      <a:off x="0" y="0"/>
                      <a:ext cx="1905000" cy="1143000"/>
                    </a:xfrm>
                    <a:prstGeom prst="rect">
                      <a:avLst/>
                    </a:prstGeom>
                    <a:noFill/>
                    <a:ln w="9525">
                      <a:noFill/>
                      <a:miter lim="800000"/>
                      <a:headEnd/>
                      <a:tailEnd/>
                    </a:ln>
                  </pic:spPr>
                </pic:pic>
              </a:graphicData>
            </a:graphic>
          </wp:inline>
        </w:drawing>
      </w:r>
    </w:p>
    <w:p w:rsidR="00FC007E" w:rsidRPr="00FC007E" w:rsidRDefault="00FC007E" w:rsidP="00FC007E">
      <w:pPr>
        <w:spacing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 PROFAS C+ s’inscrit dans le contexte du Document Cadre de Partenariat, signé entre les gouvernements algérien et français en décembre 2012, consacrant la coopération d’exception entre l’Algérie et la France et du Relevé de décision du 3 juillet 2014 portant sur le redéploiement de l’ex-programme PROFAS.</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Conformément à ce cadre, les parties algérienne et française, souhaitent promouvoir les actions de coopération qui contribuent au renforcement des capacités de l’administration algérienne en renforçant les liens entre leurs institutions, en encourageant entre elles les échanges de compétences et le transfert de savoir-faire. Cet objectif vise l’amélioration de la qualité et de l’efficacité des services publics algériens, à travers notamment leur meilleure participation à la satisfaction des besoins des citoyens.</w:t>
      </w:r>
    </w:p>
    <w:p w:rsidR="00FC007E" w:rsidRPr="00FC007E" w:rsidRDefault="00FC007E" w:rsidP="00FC007E">
      <w:pPr>
        <w:spacing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A ce titre, le PROFAS C+ soutiendra des projets structurants, engageant des actions concrètes et intégrées, portées dans le cadre de partenariats entre institutions algériennes et françaises.</w:t>
      </w:r>
    </w:p>
    <w:p w:rsidR="00FC007E" w:rsidRPr="00FC007E" w:rsidRDefault="00FC007E" w:rsidP="00FC007E">
      <w:pPr>
        <w:pBdr>
          <w:top w:val="dotted" w:sz="8" w:space="0" w:color="000000"/>
          <w:bottom w:val="dotted" w:sz="8" w:space="0" w:color="000000"/>
        </w:pBdr>
        <w:spacing w:after="0" w:line="360" w:lineRule="atLeast"/>
        <w:outlineLvl w:val="3"/>
        <w:rPr>
          <w:rFonts w:ascii="Arial" w:eastAsia="Times New Roman" w:hAnsi="Arial" w:cs="Arial"/>
          <w:color w:val="000000"/>
          <w:sz w:val="31"/>
          <w:szCs w:val="31"/>
          <w:lang w:eastAsia="fr-FR"/>
        </w:rPr>
      </w:pPr>
      <w:r w:rsidRPr="00FC007E">
        <w:rPr>
          <w:rFonts w:ascii="Arial" w:eastAsia="Times New Roman" w:hAnsi="Arial" w:cs="Arial"/>
          <w:b/>
          <w:bCs/>
          <w:color w:val="000000"/>
          <w:sz w:val="31"/>
          <w:lang w:eastAsia="fr-FR"/>
        </w:rPr>
        <w:t>Types de projets concernés</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lastRenderedPageBreak/>
        <w:br/>
        <w:t>Les projets concernés par cet appel à projets sont ceux qui entreprennent de :</w:t>
      </w:r>
    </w:p>
    <w:p w:rsidR="00FC007E" w:rsidRPr="00FC007E" w:rsidRDefault="00FC007E" w:rsidP="00FC007E">
      <w:pPr>
        <w:numPr>
          <w:ilvl w:val="0"/>
          <w:numId w:val="1"/>
        </w:numPr>
        <w:spacing w:after="0"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b/>
          <w:bCs/>
          <w:color w:val="000000"/>
          <w:sz w:val="24"/>
          <w:szCs w:val="24"/>
          <w:lang w:eastAsia="fr-FR"/>
        </w:rPr>
        <w:t>favoriser les échanges</w:t>
      </w:r>
      <w:r w:rsidRPr="00FC007E">
        <w:rPr>
          <w:rFonts w:ascii="Verdana" w:eastAsia="Times New Roman" w:hAnsi="Verdana" w:cs="Times New Roman"/>
          <w:color w:val="000000"/>
          <w:sz w:val="24"/>
          <w:szCs w:val="24"/>
          <w:lang w:eastAsia="fr-FR"/>
        </w:rPr>
        <w:t> et réaliser les bons diagnostics, spécifier les besoins, partager les expériences, définir les objectifs des partenariats ;</w:t>
      </w:r>
    </w:p>
    <w:p w:rsidR="00FC007E" w:rsidRPr="00FC007E" w:rsidRDefault="00FC007E" w:rsidP="00FC007E">
      <w:pPr>
        <w:numPr>
          <w:ilvl w:val="0"/>
          <w:numId w:val="1"/>
        </w:numPr>
        <w:spacing w:after="0"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b/>
          <w:bCs/>
          <w:color w:val="000000"/>
          <w:sz w:val="24"/>
          <w:szCs w:val="24"/>
          <w:lang w:eastAsia="fr-FR"/>
        </w:rPr>
        <w:t>mobiliser l’expertise </w:t>
      </w:r>
      <w:r w:rsidRPr="00FC007E">
        <w:rPr>
          <w:rFonts w:ascii="Verdana" w:eastAsia="Times New Roman" w:hAnsi="Verdana" w:cs="Times New Roman"/>
          <w:color w:val="000000"/>
          <w:sz w:val="24"/>
          <w:szCs w:val="24"/>
          <w:lang w:eastAsia="fr-FR"/>
        </w:rPr>
        <w:t>nécessaire à la formulation des projets structurants, à la modernisation de l’organisation, à la mise en place de dynamiques de management,  au suivi-pilotage du projet ;</w:t>
      </w:r>
    </w:p>
    <w:p w:rsidR="00FC007E" w:rsidRPr="00FC007E" w:rsidRDefault="00FC007E" w:rsidP="00FC007E">
      <w:pPr>
        <w:numPr>
          <w:ilvl w:val="0"/>
          <w:numId w:val="1"/>
        </w:numPr>
        <w:spacing w:after="0"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b/>
          <w:bCs/>
          <w:color w:val="000000"/>
          <w:sz w:val="24"/>
          <w:szCs w:val="24"/>
          <w:lang w:eastAsia="fr-FR"/>
        </w:rPr>
        <w:t>renforcer les compétences techniques et/ou managériales</w:t>
      </w:r>
      <w:r w:rsidRPr="00FC007E">
        <w:rPr>
          <w:rFonts w:ascii="Verdana" w:eastAsia="Times New Roman" w:hAnsi="Verdana" w:cs="Times New Roman"/>
          <w:color w:val="000000"/>
          <w:sz w:val="24"/>
          <w:szCs w:val="24"/>
          <w:lang w:eastAsia="fr-FR"/>
        </w:rPr>
        <w:t> des personnels  d’encadrement pour mettre en œuvre en toute autonomie les activités répondant aux priorités du gouvernement algérien.</w:t>
      </w:r>
    </w:p>
    <w:p w:rsidR="00FC007E" w:rsidRPr="00FC007E" w:rsidRDefault="00FC007E" w:rsidP="00FC007E">
      <w:pPr>
        <w:pBdr>
          <w:top w:val="dotted" w:sz="8" w:space="0" w:color="000000"/>
          <w:bottom w:val="dotted" w:sz="8" w:space="0" w:color="000000"/>
        </w:pBdr>
        <w:spacing w:after="0" w:line="360" w:lineRule="atLeast"/>
        <w:outlineLvl w:val="3"/>
        <w:rPr>
          <w:rFonts w:ascii="Arial" w:eastAsia="Times New Roman" w:hAnsi="Arial" w:cs="Arial"/>
          <w:color w:val="000000"/>
          <w:sz w:val="31"/>
          <w:szCs w:val="31"/>
          <w:lang w:eastAsia="fr-FR"/>
        </w:rPr>
      </w:pPr>
      <w:r w:rsidRPr="00FC007E">
        <w:rPr>
          <w:rFonts w:ascii="Arial" w:eastAsia="Times New Roman" w:hAnsi="Arial" w:cs="Arial"/>
          <w:b/>
          <w:bCs/>
          <w:color w:val="000000"/>
          <w:sz w:val="31"/>
          <w:lang w:eastAsia="fr-FR"/>
        </w:rPr>
        <w:t>Conditions d’éligibilité des projets PROFAS C+</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r>
      <w:r w:rsidRPr="00FC007E">
        <w:rPr>
          <w:rFonts w:ascii="Verdana" w:eastAsia="Times New Roman" w:hAnsi="Verdana" w:cs="Times New Roman"/>
          <w:b/>
          <w:bCs/>
          <w:color w:val="000000"/>
          <w:sz w:val="24"/>
          <w:szCs w:val="24"/>
          <w:u w:val="single"/>
          <w:lang w:eastAsia="fr-FR"/>
        </w:rPr>
        <w:t xml:space="preserve">Priorités thématiques </w:t>
      </w:r>
      <w:proofErr w:type="gramStart"/>
      <w:r w:rsidRPr="00FC007E">
        <w:rPr>
          <w:rFonts w:ascii="Verdana" w:eastAsia="Times New Roman" w:hAnsi="Verdana" w:cs="Times New Roman"/>
          <w:b/>
          <w:bCs/>
          <w:color w:val="000000"/>
          <w:sz w:val="24"/>
          <w:szCs w:val="24"/>
          <w:u w:val="single"/>
          <w:lang w:eastAsia="fr-FR"/>
        </w:rPr>
        <w:t>:</w:t>
      </w:r>
      <w:proofErr w:type="gramEnd"/>
      <w:r w:rsidRPr="00FC007E">
        <w:rPr>
          <w:rFonts w:ascii="Verdana" w:eastAsia="Times New Roman" w:hAnsi="Verdana" w:cs="Times New Roman"/>
          <w:color w:val="000000"/>
          <w:sz w:val="24"/>
          <w:szCs w:val="24"/>
          <w:lang w:eastAsia="fr-FR"/>
        </w:rPr>
        <w:br/>
        <w:t>Les projets doivent impérativement s’inscrire dans au moins l’une des 4 grandes priorités transversales fixées par le gouvernement algérien pour le renforcement de ses institutions:</w:t>
      </w:r>
    </w:p>
    <w:p w:rsidR="00FC007E" w:rsidRPr="00FC007E" w:rsidRDefault="00FC007E" w:rsidP="00FC007E">
      <w:pPr>
        <w:numPr>
          <w:ilvl w:val="0"/>
          <w:numId w:val="2"/>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 montage, le suivi et l’évaluation des grands projets de développement ;</w:t>
      </w:r>
    </w:p>
    <w:p w:rsidR="00FC007E" w:rsidRPr="00FC007E" w:rsidRDefault="00FC007E" w:rsidP="00FC007E">
      <w:pPr>
        <w:numPr>
          <w:ilvl w:val="0"/>
          <w:numId w:val="2"/>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La bonne gouvernance des institutions et des établissements publics ;</w:t>
      </w:r>
    </w:p>
    <w:p w:rsidR="00FC007E" w:rsidRPr="00FC007E" w:rsidRDefault="00FC007E" w:rsidP="00FC007E">
      <w:pPr>
        <w:numPr>
          <w:ilvl w:val="0"/>
          <w:numId w:val="2"/>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La négociation et la médiation ;</w:t>
      </w:r>
    </w:p>
    <w:p w:rsidR="00FC007E" w:rsidRPr="00FC007E" w:rsidRDefault="00FC007E" w:rsidP="00FC007E">
      <w:pPr>
        <w:numPr>
          <w:ilvl w:val="0"/>
          <w:numId w:val="2"/>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La prospective.</w:t>
      </w:r>
    </w:p>
    <w:p w:rsidR="00FC007E" w:rsidRPr="00FC007E" w:rsidRDefault="00FC007E" w:rsidP="00FC007E">
      <w:pPr>
        <w:spacing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b/>
          <w:bCs/>
          <w:color w:val="000000"/>
          <w:sz w:val="24"/>
          <w:szCs w:val="24"/>
          <w:u w:val="single"/>
          <w:lang w:eastAsia="fr-FR"/>
        </w:rPr>
        <w:t xml:space="preserve">Priorités sectorielles </w:t>
      </w:r>
      <w:proofErr w:type="gramStart"/>
      <w:r w:rsidRPr="00FC007E">
        <w:rPr>
          <w:rFonts w:ascii="Verdana" w:eastAsia="Times New Roman" w:hAnsi="Verdana" w:cs="Times New Roman"/>
          <w:b/>
          <w:bCs/>
          <w:color w:val="000000"/>
          <w:sz w:val="24"/>
          <w:szCs w:val="24"/>
          <w:u w:val="single"/>
          <w:lang w:eastAsia="fr-FR"/>
        </w:rPr>
        <w:t>:</w:t>
      </w:r>
      <w:proofErr w:type="gramEnd"/>
      <w:r w:rsidRPr="00FC007E">
        <w:rPr>
          <w:rFonts w:ascii="Verdana" w:eastAsia="Times New Roman" w:hAnsi="Verdana" w:cs="Times New Roman"/>
          <w:color w:val="000000"/>
          <w:sz w:val="24"/>
          <w:szCs w:val="24"/>
          <w:lang w:eastAsia="fr-FR"/>
        </w:rPr>
        <w:br/>
        <w:t>Afin de répondre aux priorités thématiques ci-dessus, les projets ciblant l’un des secteurs suivants, priorités de la coopération entre l’Algérie et la France   seront soutenus en priorité :</w:t>
      </w:r>
    </w:p>
    <w:p w:rsidR="00FC007E" w:rsidRPr="00FC007E" w:rsidRDefault="00FC007E" w:rsidP="00FC007E">
      <w:pPr>
        <w:numPr>
          <w:ilvl w:val="0"/>
          <w:numId w:val="3"/>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Secteur de la gouvernance démocratique, de l’affermissement de l’Etat de droit et de la modernisation du fonctionnement de l’Administration :</w:t>
      </w:r>
    </w:p>
    <w:p w:rsidR="00FC007E" w:rsidRPr="00FC007E" w:rsidRDefault="00FC007E" w:rsidP="00FC007E">
      <w:pPr>
        <w:numPr>
          <w:ilvl w:val="1"/>
          <w:numId w:val="3"/>
        </w:numPr>
        <w:spacing w:line="336" w:lineRule="atLeast"/>
        <w:ind w:left="9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sécurité intérieure,</w:t>
      </w:r>
    </w:p>
    <w:p w:rsidR="00FC007E" w:rsidRPr="00FC007E" w:rsidRDefault="00FC007E" w:rsidP="00FC007E">
      <w:pPr>
        <w:numPr>
          <w:ilvl w:val="1"/>
          <w:numId w:val="3"/>
        </w:numPr>
        <w:spacing w:line="336" w:lineRule="atLeast"/>
        <w:ind w:left="9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lutte contre les grands trafics et la corruption,</w:t>
      </w:r>
    </w:p>
    <w:p w:rsidR="00FC007E" w:rsidRPr="00FC007E" w:rsidRDefault="00FC007E" w:rsidP="00FC007E">
      <w:pPr>
        <w:numPr>
          <w:ilvl w:val="1"/>
          <w:numId w:val="3"/>
        </w:numPr>
        <w:spacing w:line="336" w:lineRule="atLeast"/>
        <w:ind w:left="9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lastRenderedPageBreak/>
        <w:t>habitat et urbanisme, amélioration des gouvernances locales et la gouvernance foncière,</w:t>
      </w:r>
    </w:p>
    <w:p w:rsidR="00FC007E" w:rsidRPr="00FC007E" w:rsidRDefault="00FC007E" w:rsidP="00FC007E">
      <w:pPr>
        <w:numPr>
          <w:ilvl w:val="1"/>
          <w:numId w:val="3"/>
        </w:numPr>
        <w:spacing w:line="336" w:lineRule="atLeast"/>
        <w:ind w:left="9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gouvernance financière afin d’améliorer une mobilisation pertinente des ressources domestiques, à travers notamment une fiscalité juste et équitable, des circuits de la dépense publique efficients et transparents.</w:t>
      </w:r>
    </w:p>
    <w:p w:rsidR="00FC007E" w:rsidRPr="00FC007E" w:rsidRDefault="00FC007E" w:rsidP="00FC007E">
      <w:pPr>
        <w:numPr>
          <w:ilvl w:val="0"/>
          <w:numId w:val="3"/>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Secteur du développement productif et social:</w:t>
      </w:r>
    </w:p>
    <w:p w:rsidR="00FC007E" w:rsidRPr="00FC007E" w:rsidRDefault="00FC007E" w:rsidP="00FC007E">
      <w:pPr>
        <w:numPr>
          <w:ilvl w:val="1"/>
          <w:numId w:val="3"/>
        </w:numPr>
        <w:spacing w:line="336" w:lineRule="atLeast"/>
        <w:ind w:left="9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santé, diversification de l’économie et développement humain : enjeux économiques, commerciaux, de développement qui touchent la diversification de l’économie ; questions démographiques, d’égalité des citoyens et de diffusion de la protection sociale ; stratégie en matière d’éducation et de formation professionnelle post-primaire sur les secteurs sociaux ; renforcement des systèmes de santé.</w:t>
      </w:r>
    </w:p>
    <w:p w:rsidR="00FC007E" w:rsidRPr="00FC007E" w:rsidRDefault="00FC007E" w:rsidP="00FC007E">
      <w:pPr>
        <w:numPr>
          <w:ilvl w:val="1"/>
          <w:numId w:val="3"/>
        </w:numPr>
        <w:spacing w:line="336" w:lineRule="atLeast"/>
        <w:ind w:left="9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environnement et climat : changement climatique ; eau ; biodiversité ; désertification ; forêt ; traitement des produits chimiques et des déchets ; prévention des catastrophes ; accès à l’énergie et aux technologies bas carbone ; développement durable et environnement.</w:t>
      </w:r>
    </w:p>
    <w:p w:rsidR="00FC007E" w:rsidRPr="00FC007E" w:rsidRDefault="00FC007E" w:rsidP="00FC007E">
      <w:pPr>
        <w:shd w:val="clear" w:color="auto" w:fill="000000"/>
        <w:spacing w:after="0" w:line="360" w:lineRule="atLeast"/>
        <w:outlineLvl w:val="4"/>
        <w:rPr>
          <w:rFonts w:ascii="Arial" w:eastAsia="Times New Roman" w:hAnsi="Arial" w:cs="Arial"/>
          <w:caps/>
          <w:color w:val="FFFFFF"/>
          <w:sz w:val="26"/>
          <w:szCs w:val="26"/>
          <w:lang w:eastAsia="fr-FR"/>
        </w:rPr>
      </w:pPr>
      <w:r w:rsidRPr="00FC007E">
        <w:rPr>
          <w:rFonts w:ascii="Arial" w:eastAsia="Times New Roman" w:hAnsi="Arial" w:cs="Arial"/>
          <w:b/>
          <w:bCs/>
          <w:caps/>
          <w:color w:val="FFFFFF"/>
          <w:sz w:val="26"/>
          <w:lang w:eastAsia="fr-FR"/>
        </w:rPr>
        <w:t>CONDITION DE PARTENARIAT :</w:t>
      </w:r>
      <w:r w:rsidRPr="00FC007E">
        <w:rPr>
          <w:rFonts w:ascii="Arial" w:eastAsia="Times New Roman" w:hAnsi="Arial" w:cs="Arial"/>
          <w:b/>
          <w:bCs/>
          <w:caps/>
          <w:color w:val="FFFFFF"/>
          <w:sz w:val="26"/>
          <w:lang w:eastAsia="fr-FR"/>
        </w:rPr>
        <w:t>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Pour être éligibles les projets doivent être portés par au moins deux partenaires institutionnels, français et algériens.</w:t>
      </w:r>
    </w:p>
    <w:p w:rsidR="00FC007E" w:rsidRPr="00FC007E" w:rsidRDefault="00FC007E" w:rsidP="00FC007E">
      <w:pPr>
        <w:shd w:val="clear" w:color="auto" w:fill="000000"/>
        <w:spacing w:after="0" w:line="360" w:lineRule="atLeast"/>
        <w:outlineLvl w:val="4"/>
        <w:rPr>
          <w:rFonts w:ascii="Arial" w:eastAsia="Times New Roman" w:hAnsi="Arial" w:cs="Arial"/>
          <w:caps/>
          <w:color w:val="FFFFFF"/>
          <w:sz w:val="26"/>
          <w:szCs w:val="26"/>
          <w:lang w:eastAsia="fr-FR"/>
        </w:rPr>
      </w:pPr>
      <w:r w:rsidRPr="00FC007E">
        <w:rPr>
          <w:rFonts w:ascii="Arial" w:eastAsia="Times New Roman" w:hAnsi="Arial" w:cs="Arial"/>
          <w:b/>
          <w:bCs/>
          <w:caps/>
          <w:color w:val="FFFFFF"/>
          <w:sz w:val="26"/>
          <w:lang w:eastAsia="fr-FR"/>
        </w:rPr>
        <w:t>CONDITION D’ENGAGEMENT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Comme dans toute démarche visant l’amélioration de la qualité des politiques publiques une direction générale du partenaire bénéficiaire doit s’engager formellement à favoriser l’atteinte des objectifs du projet.</w:t>
      </w:r>
    </w:p>
    <w:p w:rsidR="00FC007E" w:rsidRPr="00FC007E" w:rsidRDefault="00FC007E" w:rsidP="00FC007E">
      <w:pPr>
        <w:shd w:val="clear" w:color="auto" w:fill="000000"/>
        <w:spacing w:after="0" w:line="360" w:lineRule="atLeast"/>
        <w:outlineLvl w:val="4"/>
        <w:rPr>
          <w:rFonts w:ascii="Arial" w:eastAsia="Times New Roman" w:hAnsi="Arial" w:cs="Arial"/>
          <w:caps/>
          <w:color w:val="FFFFFF"/>
          <w:sz w:val="26"/>
          <w:szCs w:val="26"/>
          <w:lang w:eastAsia="fr-FR"/>
        </w:rPr>
      </w:pPr>
      <w:r w:rsidRPr="00FC007E">
        <w:rPr>
          <w:rFonts w:ascii="Arial" w:eastAsia="Times New Roman" w:hAnsi="Arial" w:cs="Arial"/>
          <w:b/>
          <w:bCs/>
          <w:caps/>
          <w:color w:val="FFFFFF"/>
          <w:sz w:val="26"/>
          <w:lang w:eastAsia="fr-FR"/>
        </w:rPr>
        <w:t>CONDITION D’INNOVATION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Les partenaires, dans leur argumentaire, devront démontrer le caractère innovant des projets qu’ils s’entendent à soutenir ensemble. Les projets à caractère récurrent n’auront pas la priorité.</w:t>
      </w:r>
    </w:p>
    <w:p w:rsidR="00FC007E" w:rsidRPr="00FC007E" w:rsidRDefault="00FC007E" w:rsidP="00FC007E">
      <w:pPr>
        <w:shd w:val="clear" w:color="auto" w:fill="000000"/>
        <w:spacing w:after="0" w:line="360" w:lineRule="atLeast"/>
        <w:outlineLvl w:val="4"/>
        <w:rPr>
          <w:rFonts w:ascii="Arial" w:eastAsia="Times New Roman" w:hAnsi="Arial" w:cs="Arial"/>
          <w:caps/>
          <w:color w:val="FFFFFF"/>
          <w:sz w:val="26"/>
          <w:szCs w:val="26"/>
          <w:lang w:eastAsia="fr-FR"/>
        </w:rPr>
      </w:pPr>
      <w:r w:rsidRPr="00FC007E">
        <w:rPr>
          <w:rFonts w:ascii="Arial" w:eastAsia="Times New Roman" w:hAnsi="Arial" w:cs="Arial"/>
          <w:b/>
          <w:bCs/>
          <w:caps/>
          <w:color w:val="FFFFFF"/>
          <w:sz w:val="26"/>
          <w:lang w:eastAsia="fr-FR"/>
        </w:rPr>
        <w:t>CONDITION D’UTILITÉ SOCIALE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 xml:space="preserve">Les partenaires démontreront l’intérêt du projet pour la satisfaction des besoins du citoyen (bénéficiaire final des impacts du projet) et préciseront </w:t>
      </w:r>
      <w:r w:rsidRPr="00FC007E">
        <w:rPr>
          <w:rFonts w:ascii="Verdana" w:eastAsia="Times New Roman" w:hAnsi="Verdana" w:cs="Times New Roman"/>
          <w:color w:val="000000"/>
          <w:sz w:val="24"/>
          <w:szCs w:val="24"/>
          <w:lang w:eastAsia="fr-FR"/>
        </w:rPr>
        <w:lastRenderedPageBreak/>
        <w:t>comment il contribue activement au processus d’amélioration de la qualité des politiques publiques (mode d’implication participative).</w:t>
      </w:r>
    </w:p>
    <w:p w:rsidR="00FC007E" w:rsidRPr="00FC007E" w:rsidRDefault="00FC007E" w:rsidP="00FC007E">
      <w:pPr>
        <w:shd w:val="clear" w:color="auto" w:fill="000000"/>
        <w:spacing w:after="0" w:line="360" w:lineRule="atLeast"/>
        <w:outlineLvl w:val="4"/>
        <w:rPr>
          <w:rFonts w:ascii="Arial" w:eastAsia="Times New Roman" w:hAnsi="Arial" w:cs="Arial"/>
          <w:caps/>
          <w:color w:val="FFFFFF"/>
          <w:sz w:val="26"/>
          <w:szCs w:val="26"/>
          <w:lang w:eastAsia="fr-FR"/>
        </w:rPr>
      </w:pPr>
      <w:r w:rsidRPr="00FC007E">
        <w:rPr>
          <w:rFonts w:ascii="Arial" w:eastAsia="Times New Roman" w:hAnsi="Arial" w:cs="Arial"/>
          <w:b/>
          <w:bCs/>
          <w:caps/>
          <w:color w:val="FFFFFF"/>
          <w:sz w:val="26"/>
          <w:lang w:eastAsia="fr-FR"/>
        </w:rPr>
        <w:t>CARACTÈRE STRUCTURANT DU PROJET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Les partenaires démontreront que le projet envisagé ne se limite pas au renforcement de la capacité des cadres de l’administration (formations spécifiques, séminaires, actions de sensibilisation, conférences…), composante essentielle mais insuffisante à elle seule pour entraîner l’amélioration de la qualité et de l’efficacité des services publics algériens, en termes de satisfaction des besoins des citoyens notamment.</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u w:val="single"/>
          <w:lang w:eastAsia="fr-FR"/>
        </w:rPr>
        <w:t>La priorité sera donnée aux projets :</w:t>
      </w:r>
    </w:p>
    <w:p w:rsidR="00FC007E" w:rsidRPr="00FC007E" w:rsidRDefault="00FC007E" w:rsidP="00FC007E">
      <w:pPr>
        <w:numPr>
          <w:ilvl w:val="0"/>
          <w:numId w:val="4"/>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qui démontrent leur capacité à agir sur la modernisation de l’administration (renforcement de l’efficacité de l’organisation et de son fonctionnement, nouveaux objectifs…),</w:t>
      </w:r>
    </w:p>
    <w:p w:rsidR="00FC007E" w:rsidRPr="00FC007E" w:rsidRDefault="00FC007E" w:rsidP="00FC007E">
      <w:pPr>
        <w:numPr>
          <w:ilvl w:val="0"/>
          <w:numId w:val="4"/>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qui induisent des résultats concrets et mesurables sur le terrain pendant la durée du projet (utilité sociale).</w:t>
      </w:r>
    </w:p>
    <w:p w:rsidR="00FC007E" w:rsidRPr="00FC007E" w:rsidRDefault="00FC007E" w:rsidP="00FC007E">
      <w:pPr>
        <w:shd w:val="clear" w:color="auto" w:fill="000000"/>
        <w:spacing w:after="0" w:line="360" w:lineRule="atLeast"/>
        <w:outlineLvl w:val="4"/>
        <w:rPr>
          <w:rFonts w:ascii="Arial" w:eastAsia="Times New Roman" w:hAnsi="Arial" w:cs="Arial"/>
          <w:caps/>
          <w:color w:val="FFFFFF"/>
          <w:sz w:val="26"/>
          <w:szCs w:val="26"/>
          <w:lang w:eastAsia="fr-FR"/>
        </w:rPr>
      </w:pPr>
      <w:r w:rsidRPr="00FC007E">
        <w:rPr>
          <w:rFonts w:ascii="Arial" w:eastAsia="Times New Roman" w:hAnsi="Arial" w:cs="Arial"/>
          <w:caps/>
          <w:color w:val="FFFFFF"/>
          <w:sz w:val="26"/>
          <w:szCs w:val="26"/>
          <w:lang w:eastAsia="fr-FR"/>
        </w:rPr>
        <w:br/>
      </w:r>
      <w:r w:rsidRPr="00FC007E">
        <w:rPr>
          <w:rFonts w:ascii="Arial" w:eastAsia="Times New Roman" w:hAnsi="Arial" w:cs="Arial"/>
          <w:b/>
          <w:bCs/>
          <w:caps/>
          <w:color w:val="FFFFFF"/>
          <w:sz w:val="26"/>
          <w:lang w:eastAsia="fr-FR"/>
        </w:rPr>
        <w:t>CONDITIONS FINANCIÈRES</w:t>
      </w:r>
      <w:proofErr w:type="gramStart"/>
      <w:r w:rsidRPr="00FC007E">
        <w:rPr>
          <w:rFonts w:ascii="Arial" w:eastAsia="Times New Roman" w:hAnsi="Arial" w:cs="Arial"/>
          <w:b/>
          <w:bCs/>
          <w:caps/>
          <w:color w:val="FFFFFF"/>
          <w:sz w:val="26"/>
          <w:lang w:eastAsia="fr-FR"/>
        </w:rPr>
        <w:t>  :</w:t>
      </w:r>
      <w:proofErr w:type="gramEnd"/>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D’une manière générale, toutes les dépenses nécessaires à la mise en œuvre du projet doivent pouvoir être comptabilisées et justifiées (pièces justificatives, factures….).</w:t>
      </w:r>
      <w:r w:rsidRPr="00FC007E">
        <w:rPr>
          <w:rFonts w:ascii="Verdana" w:eastAsia="Times New Roman" w:hAnsi="Verdana" w:cs="Times New Roman"/>
          <w:color w:val="000000"/>
          <w:sz w:val="24"/>
          <w:szCs w:val="24"/>
          <w:lang w:eastAsia="fr-FR"/>
        </w:rPr>
        <w:br/>
        <w:t>Pourront être pris en charge :</w:t>
      </w:r>
    </w:p>
    <w:p w:rsidR="00FC007E" w:rsidRPr="00FC007E" w:rsidRDefault="00FC007E" w:rsidP="00FC007E">
      <w:pPr>
        <w:numPr>
          <w:ilvl w:val="0"/>
          <w:numId w:val="5"/>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frais de séjour (per diem) des fonctionnaires Algériens en France et des experts Français en Algérie,</w:t>
      </w:r>
    </w:p>
    <w:p w:rsidR="00FC007E" w:rsidRPr="00FC007E" w:rsidRDefault="00FC007E" w:rsidP="00FC007E">
      <w:pPr>
        <w:numPr>
          <w:ilvl w:val="0"/>
          <w:numId w:val="5"/>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indemnités journalières des experts Français mobilisés,</w:t>
      </w:r>
    </w:p>
    <w:p w:rsidR="00FC007E" w:rsidRPr="00FC007E" w:rsidRDefault="00FC007E" w:rsidP="00FC007E">
      <w:pPr>
        <w:numPr>
          <w:ilvl w:val="0"/>
          <w:numId w:val="5"/>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frais de déplacement pour permettre aux experts français de se rendre en Algérie et aux fonctionnaires algériens en France,</w:t>
      </w:r>
    </w:p>
    <w:p w:rsidR="00FC007E" w:rsidRPr="00FC007E" w:rsidRDefault="00FC007E" w:rsidP="00FC007E">
      <w:pPr>
        <w:numPr>
          <w:ilvl w:val="0"/>
          <w:numId w:val="5"/>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coûts de formation des fonctionnaires algériens en France (limitée aux formations qualifiantes).</w:t>
      </w:r>
    </w:p>
    <w:p w:rsidR="00FC007E" w:rsidRPr="00FC007E" w:rsidRDefault="00FC007E" w:rsidP="00FC007E">
      <w:pPr>
        <w:spacing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Ne pourront être, ni pris en charge, ni comptabilisés comme une participation directe au projet (mais seront considérées comme un avantage lors de la sélection  des projets) :</w:t>
      </w:r>
    </w:p>
    <w:p w:rsidR="00FC007E" w:rsidRPr="00FC007E" w:rsidRDefault="00FC007E" w:rsidP="00FC007E">
      <w:pPr>
        <w:numPr>
          <w:ilvl w:val="0"/>
          <w:numId w:val="6"/>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travaux de construction et de rénovation,</w:t>
      </w:r>
    </w:p>
    <w:p w:rsidR="00FC007E" w:rsidRPr="00FC007E" w:rsidRDefault="00FC007E" w:rsidP="00FC007E">
      <w:pPr>
        <w:numPr>
          <w:ilvl w:val="0"/>
          <w:numId w:val="6"/>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achats d’équipements, de consommables, de fournitures,</w:t>
      </w:r>
    </w:p>
    <w:p w:rsidR="00FC007E" w:rsidRPr="00FC007E" w:rsidRDefault="00FC007E" w:rsidP="00FC007E">
      <w:pPr>
        <w:numPr>
          <w:ilvl w:val="0"/>
          <w:numId w:val="6"/>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salaires de personnels affectés et/ou impliqués dans le projet,</w:t>
      </w:r>
    </w:p>
    <w:p w:rsidR="00FC007E" w:rsidRPr="00FC007E" w:rsidRDefault="00FC007E" w:rsidP="00FC007E">
      <w:pPr>
        <w:numPr>
          <w:ilvl w:val="0"/>
          <w:numId w:val="6"/>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lastRenderedPageBreak/>
        <w:t>la valorisation de bénévolat et de coûts forfaitaires (frais de gestion…),</w:t>
      </w:r>
    </w:p>
    <w:p w:rsidR="00FC007E" w:rsidRPr="00FC007E" w:rsidRDefault="00FC007E" w:rsidP="00FC007E">
      <w:pPr>
        <w:numPr>
          <w:ilvl w:val="0"/>
          <w:numId w:val="6"/>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coûts de location.</w:t>
      </w:r>
    </w:p>
    <w:p w:rsidR="00FC007E" w:rsidRPr="00FC007E" w:rsidRDefault="00FC007E" w:rsidP="00FC007E">
      <w:pPr>
        <w:pBdr>
          <w:top w:val="dotted" w:sz="8" w:space="0" w:color="000000"/>
          <w:bottom w:val="dotted" w:sz="8" w:space="0" w:color="000000"/>
        </w:pBdr>
        <w:spacing w:after="0" w:line="360" w:lineRule="atLeast"/>
        <w:outlineLvl w:val="3"/>
        <w:rPr>
          <w:rFonts w:ascii="Arial" w:eastAsia="Times New Roman" w:hAnsi="Arial" w:cs="Arial"/>
          <w:color w:val="000000"/>
          <w:sz w:val="31"/>
          <w:szCs w:val="31"/>
          <w:lang w:eastAsia="fr-FR"/>
        </w:rPr>
      </w:pPr>
      <w:r w:rsidRPr="00FC007E">
        <w:rPr>
          <w:rFonts w:ascii="Arial" w:eastAsia="Times New Roman" w:hAnsi="Arial" w:cs="Arial"/>
          <w:b/>
          <w:bCs/>
          <w:color w:val="000000"/>
          <w:sz w:val="31"/>
          <w:lang w:eastAsia="fr-FR"/>
        </w:rPr>
        <w:t>Modalités pratiques pour le dépôt des projets de partenariat institutionnel</w:t>
      </w:r>
    </w:p>
    <w:p w:rsidR="00FC007E" w:rsidRPr="00FC007E" w:rsidRDefault="00FC007E" w:rsidP="00FC007E">
      <w:pPr>
        <w:shd w:val="clear" w:color="auto" w:fill="000000"/>
        <w:spacing w:after="0" w:line="360" w:lineRule="atLeast"/>
        <w:outlineLvl w:val="4"/>
        <w:rPr>
          <w:rFonts w:ascii="Arial" w:eastAsia="Times New Roman" w:hAnsi="Arial" w:cs="Arial"/>
          <w:caps/>
          <w:color w:val="FFFFFF"/>
          <w:sz w:val="26"/>
          <w:szCs w:val="26"/>
          <w:lang w:eastAsia="fr-FR"/>
        </w:rPr>
      </w:pPr>
      <w:r w:rsidRPr="00FC007E">
        <w:rPr>
          <w:rFonts w:ascii="Arial" w:eastAsia="Times New Roman" w:hAnsi="Arial" w:cs="Arial"/>
          <w:b/>
          <w:bCs/>
          <w:caps/>
          <w:color w:val="FFFFFF"/>
          <w:sz w:val="26"/>
          <w:lang w:eastAsia="fr-FR"/>
        </w:rPr>
        <w:t>PRÉSENTATION SOUS FORME DE CADRE LOGIQUE :</w:t>
      </w:r>
    </w:p>
    <w:p w:rsidR="00FC007E" w:rsidRPr="00FC007E" w:rsidRDefault="00FC007E" w:rsidP="00FC007E">
      <w:pPr>
        <w:spacing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 projet sera présenté à l’aide d’un cadre logique. Ce cadre logique démontrera que le projet est conçu comme un ensemble finalisé d’activités et d’actions visant des objectifs déterminés, doté d’une organisation, d’un système de pilotage et de management. Il comportera :</w:t>
      </w:r>
    </w:p>
    <w:p w:rsidR="00FC007E" w:rsidRPr="00FC007E" w:rsidRDefault="00FC007E" w:rsidP="00FC007E">
      <w:pPr>
        <w:numPr>
          <w:ilvl w:val="0"/>
          <w:numId w:val="7"/>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un diagnostic : prise en compte de la satisfaction des besoins du citoyen, d’idées, d’une situation donnée insatisfaisante que le projet est sensé résoudre, recommandations en termes d’objectifs à atteindre,</w:t>
      </w:r>
    </w:p>
    <w:p w:rsidR="00FC007E" w:rsidRPr="00FC007E" w:rsidRDefault="00FC007E" w:rsidP="00FC007E">
      <w:pPr>
        <w:numPr>
          <w:ilvl w:val="0"/>
          <w:numId w:val="7"/>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 choix d'une stratégie et de méthodes d’intervention pour atteindre les objectifs retenus (concrets, sur le terrain, directement ressentis et mesurables en termes d’utilité sociale, non limités à l’administration…),</w:t>
      </w:r>
    </w:p>
    <w:p w:rsidR="00FC007E" w:rsidRPr="00FC007E" w:rsidRDefault="00FC007E" w:rsidP="00FC007E">
      <w:pPr>
        <w:numPr>
          <w:ilvl w:val="0"/>
          <w:numId w:val="7"/>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la définition du mode de gouvernance du projet (pilotage global, management du projet, suivi opérationnel de la qualité du projet, mode de consultation-implication du citoyen…),</w:t>
      </w:r>
    </w:p>
    <w:p w:rsidR="00FC007E" w:rsidRPr="00FC007E" w:rsidRDefault="00FC007E" w:rsidP="00FC007E">
      <w:pPr>
        <w:numPr>
          <w:ilvl w:val="0"/>
          <w:numId w:val="7"/>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l’objectif principal du projet, c’est-à-dire, l’objectif final en termes de retombées concrètes et mesurables –pendant la durée du projet - pour le citoyen (objectif d’utilité sociale : amélioration de la qualité du service, de l’accueil, de la prise en charge de…),</w:t>
      </w:r>
    </w:p>
    <w:p w:rsidR="00FC007E" w:rsidRPr="00FC007E" w:rsidRDefault="00FC007E" w:rsidP="00FC007E">
      <w:pPr>
        <w:numPr>
          <w:ilvl w:val="0"/>
          <w:numId w:val="7"/>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objectifs spécifiques pour l’administration (création, restructuration, organisation, dynamisation, définition de la stratégie d’un service ou d’un département de l’administration…),</w:t>
      </w:r>
    </w:p>
    <w:p w:rsidR="00FC007E" w:rsidRPr="00FC007E" w:rsidRDefault="00FC007E" w:rsidP="00FC007E">
      <w:pPr>
        <w:numPr>
          <w:ilvl w:val="0"/>
          <w:numId w:val="7"/>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pour chaque objectif spécifique, les activités concrètes à mettre dans le cadre du projet pour l’atteinte de chacun des objectifs spécifiques,</w:t>
      </w:r>
    </w:p>
    <w:p w:rsidR="00FC007E" w:rsidRPr="00FC007E" w:rsidRDefault="00FC007E" w:rsidP="00FC007E">
      <w:pPr>
        <w:numPr>
          <w:ilvl w:val="0"/>
          <w:numId w:val="7"/>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pour chaque activité à mettre en œuvre, les résultats visés, assortis d’indicateurs objectivement vérifiables, en termes de retombées pour le citoyen (système d’évaluation des impacts du projet),</w:t>
      </w:r>
    </w:p>
    <w:p w:rsidR="00FC007E" w:rsidRPr="00FC007E" w:rsidRDefault="00FC007E" w:rsidP="00FC007E">
      <w:pPr>
        <w:numPr>
          <w:ilvl w:val="0"/>
          <w:numId w:val="7"/>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 calendrier d’exécution prévisionnel des activités n’excédant pas trois années civiles,</w:t>
      </w:r>
    </w:p>
    <w:p w:rsidR="00FC007E" w:rsidRPr="00FC007E" w:rsidRDefault="00FC007E" w:rsidP="00FC007E">
      <w:pPr>
        <w:numPr>
          <w:ilvl w:val="0"/>
          <w:numId w:val="7"/>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lastRenderedPageBreak/>
        <w:t>les besoins en termes de moyens nécessaires à la mise en œuvre des activités prévues (études d’opportunité et de faisabilité, diagnostics, expertise et conseil, renforcement des compétences, appuis à la gestion et au management…) précisant notamment le budget des douze premiers mois.</w:t>
      </w:r>
    </w:p>
    <w:p w:rsidR="00FC007E" w:rsidRPr="00FC007E" w:rsidRDefault="00FC007E" w:rsidP="00FC007E">
      <w:pPr>
        <w:shd w:val="clear" w:color="auto" w:fill="000000"/>
        <w:spacing w:after="0" w:line="360" w:lineRule="atLeast"/>
        <w:outlineLvl w:val="4"/>
        <w:rPr>
          <w:rFonts w:ascii="Arial" w:eastAsia="Times New Roman" w:hAnsi="Arial" w:cs="Arial"/>
          <w:caps/>
          <w:color w:val="FFFFFF"/>
          <w:sz w:val="26"/>
          <w:szCs w:val="26"/>
          <w:lang w:eastAsia="fr-FR"/>
        </w:rPr>
      </w:pPr>
      <w:r w:rsidRPr="00FC007E">
        <w:rPr>
          <w:rFonts w:ascii="Arial" w:eastAsia="Times New Roman" w:hAnsi="Arial" w:cs="Arial"/>
          <w:b/>
          <w:bCs/>
          <w:caps/>
          <w:color w:val="FFFFFF"/>
          <w:sz w:val="26"/>
          <w:lang w:eastAsia="fr-FR"/>
        </w:rPr>
        <w:t>PRÉSENTATION D’UNE ANNEXE FINANCIÈRE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Le projet présenté comportera une annexe financière faisant apparaître :</w:t>
      </w:r>
    </w:p>
    <w:p w:rsidR="00FC007E" w:rsidRPr="00FC007E" w:rsidRDefault="00FC007E" w:rsidP="00FC007E">
      <w:pPr>
        <w:numPr>
          <w:ilvl w:val="0"/>
          <w:numId w:val="8"/>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appuis souhaités dans le cadre de la mobilisation des moyens nécessaires (formations spécifiques, missions d’expertise, échanges…), chiffrés à parité de coûts entre la partie algérienne et la partie française,</w:t>
      </w:r>
    </w:p>
    <w:p w:rsidR="00FC007E" w:rsidRPr="00FC007E" w:rsidRDefault="00FC007E" w:rsidP="00FC007E">
      <w:pPr>
        <w:numPr>
          <w:ilvl w:val="0"/>
          <w:numId w:val="8"/>
        </w:numPr>
        <w:spacing w:line="336" w:lineRule="atLeast"/>
        <w:ind w:left="600"/>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financements additionnels éventuels.</w:t>
      </w:r>
    </w:p>
    <w:p w:rsidR="00FC007E" w:rsidRPr="00FC007E" w:rsidRDefault="00FC007E" w:rsidP="00FC007E">
      <w:pPr>
        <w:shd w:val="clear" w:color="auto" w:fill="000000"/>
        <w:spacing w:after="0" w:line="360" w:lineRule="atLeast"/>
        <w:outlineLvl w:val="4"/>
        <w:rPr>
          <w:rFonts w:ascii="Arial" w:eastAsia="Times New Roman" w:hAnsi="Arial" w:cs="Arial"/>
          <w:caps/>
          <w:color w:val="FFFFFF"/>
          <w:sz w:val="26"/>
          <w:szCs w:val="26"/>
          <w:lang w:eastAsia="fr-FR"/>
        </w:rPr>
      </w:pPr>
      <w:r w:rsidRPr="00FC007E">
        <w:rPr>
          <w:rFonts w:ascii="Arial" w:eastAsia="Times New Roman" w:hAnsi="Arial" w:cs="Arial"/>
          <w:b/>
          <w:bCs/>
          <w:caps/>
          <w:color w:val="FFFFFF"/>
          <w:sz w:val="26"/>
          <w:lang w:eastAsia="fr-FR"/>
        </w:rPr>
        <w:t>DÉPÔT DES DOSSIERS DE PROJETS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Une copie du projet de partenariat dûment signée doit être déposée par le secteur algérien concerné au Ministère Algérien des Affaires Etrangères /Direction Générale Europe.</w:t>
      </w:r>
    </w:p>
    <w:p w:rsidR="00FC007E" w:rsidRPr="00FC007E" w:rsidRDefault="00FC007E" w:rsidP="00FC007E">
      <w:pPr>
        <w:shd w:val="clear" w:color="auto" w:fill="000000"/>
        <w:spacing w:after="0" w:line="360" w:lineRule="atLeast"/>
        <w:jc w:val="center"/>
        <w:outlineLvl w:val="4"/>
        <w:rPr>
          <w:rFonts w:ascii="Arial" w:eastAsia="Times New Roman" w:hAnsi="Arial" w:cs="Arial"/>
          <w:caps/>
          <w:color w:val="FFFFFF"/>
          <w:sz w:val="26"/>
          <w:szCs w:val="26"/>
          <w:lang w:eastAsia="fr-FR"/>
        </w:rPr>
      </w:pPr>
      <w:r w:rsidRPr="00FC007E">
        <w:rPr>
          <w:rFonts w:ascii="Arial" w:eastAsia="Times New Roman" w:hAnsi="Arial" w:cs="Arial"/>
          <w:b/>
          <w:bCs/>
          <w:caps/>
          <w:color w:val="FFFFFF"/>
          <w:sz w:val="26"/>
          <w:lang w:eastAsia="fr-FR"/>
        </w:rPr>
        <w:t>LE PROJET DE PARTENARIAT DEVRA ÊTRE SIMULTANÉMENT ADRESSÉ EN VERSION ÉLECTRONIQUE PAR L’UN DES DEUX PARTENAIRES, ALGÉRIEN OU FRANÇAIS, </w:t>
      </w:r>
      <w:r w:rsidRPr="00FC007E">
        <w:rPr>
          <w:rFonts w:ascii="Arial" w:eastAsia="Times New Roman" w:hAnsi="Arial" w:cs="Arial"/>
          <w:b/>
          <w:bCs/>
          <w:caps/>
          <w:color w:val="FFFFFF"/>
          <w:sz w:val="26"/>
          <w:u w:val="single"/>
          <w:lang w:eastAsia="fr-FR"/>
        </w:rPr>
        <w:t>AVANT LE 23 JUILLET 2016</w:t>
      </w:r>
      <w:r w:rsidRPr="00FC007E">
        <w:rPr>
          <w:rFonts w:ascii="Arial" w:eastAsia="Times New Roman" w:hAnsi="Arial" w:cs="Arial"/>
          <w:b/>
          <w:bCs/>
          <w:caps/>
          <w:color w:val="FFFFFF"/>
          <w:sz w:val="26"/>
          <w:lang w:eastAsia="fr-FR"/>
        </w:rPr>
        <w:t>, AUX ADRESSES SUIVANTES </w:t>
      </w:r>
      <w:r w:rsidRPr="00FC007E">
        <w:rPr>
          <w:rFonts w:ascii="Arial" w:eastAsia="Times New Roman" w:hAnsi="Arial" w:cs="Arial"/>
          <w:caps/>
          <w:color w:val="FFFFFF"/>
          <w:sz w:val="26"/>
          <w:szCs w:val="26"/>
          <w:lang w:eastAsia="fr-FR"/>
        </w:rPr>
        <w:t>:</w:t>
      </w:r>
    </w:p>
    <w:p w:rsidR="00FC007E" w:rsidRPr="00FC007E" w:rsidRDefault="00FC007E" w:rsidP="00FC007E">
      <w:pPr>
        <w:spacing w:after="0" w:line="336" w:lineRule="atLeast"/>
        <w:jc w:val="center"/>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u w:val="single"/>
          <w:lang w:eastAsia="fr-FR"/>
        </w:rPr>
        <w:t>A la Commission Nationale de la Formation et du Perfectionnement à l’Etranger - Ministère de l’Enseignement Supérieur et de la Recherche Scientifique:</w:t>
      </w:r>
      <w:r w:rsidRPr="00FC007E">
        <w:rPr>
          <w:rFonts w:ascii="Verdana" w:eastAsia="Times New Roman" w:hAnsi="Verdana" w:cs="Times New Roman"/>
          <w:color w:val="000000"/>
          <w:sz w:val="24"/>
          <w:szCs w:val="24"/>
          <w:lang w:eastAsia="fr-FR"/>
        </w:rPr>
        <w:br/>
      </w:r>
      <w:r w:rsidRPr="00FC007E">
        <w:rPr>
          <w:rFonts w:ascii="Verdana" w:eastAsia="Times New Roman" w:hAnsi="Verdana" w:cs="Times New Roman"/>
          <w:b/>
          <w:bCs/>
          <w:color w:val="000000"/>
          <w:sz w:val="24"/>
          <w:szCs w:val="24"/>
          <w:lang w:eastAsia="fr-FR"/>
        </w:rPr>
        <w:t>Cnfpe.profasc2014@mesrs.dz</w:t>
      </w:r>
    </w:p>
    <w:p w:rsidR="00FC007E" w:rsidRPr="00FC007E" w:rsidRDefault="00FC007E" w:rsidP="00FC007E">
      <w:pPr>
        <w:spacing w:after="0" w:line="336" w:lineRule="atLeast"/>
        <w:jc w:val="center"/>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u w:val="single"/>
          <w:lang w:eastAsia="fr-FR"/>
        </w:rPr>
        <w:t xml:space="preserve">A l’Ambassade de France en Algérie </w:t>
      </w:r>
      <w:proofErr w:type="gramStart"/>
      <w:r w:rsidRPr="00FC007E">
        <w:rPr>
          <w:rFonts w:ascii="Verdana" w:eastAsia="Times New Roman" w:hAnsi="Verdana" w:cs="Times New Roman"/>
          <w:color w:val="000000"/>
          <w:sz w:val="24"/>
          <w:szCs w:val="24"/>
          <w:u w:val="single"/>
          <w:lang w:eastAsia="fr-FR"/>
        </w:rPr>
        <w:t>:</w:t>
      </w:r>
      <w:proofErr w:type="gramEnd"/>
      <w:r w:rsidRPr="00FC007E">
        <w:rPr>
          <w:rFonts w:ascii="Verdana" w:eastAsia="Times New Roman" w:hAnsi="Verdana" w:cs="Times New Roman"/>
          <w:color w:val="000000"/>
          <w:sz w:val="24"/>
          <w:szCs w:val="24"/>
          <w:lang w:eastAsia="fr-FR"/>
        </w:rPr>
        <w:br/>
      </w:r>
      <w:r w:rsidRPr="00FC007E">
        <w:rPr>
          <w:rFonts w:ascii="Verdana" w:eastAsia="Times New Roman" w:hAnsi="Verdana" w:cs="Times New Roman"/>
          <w:b/>
          <w:bCs/>
          <w:color w:val="000000"/>
          <w:sz w:val="24"/>
          <w:szCs w:val="24"/>
          <w:lang w:eastAsia="fr-FR"/>
        </w:rPr>
        <w:t>profasc.alger-amba@diplomatie.gouv.fr</w:t>
      </w:r>
    </w:p>
    <w:p w:rsidR="00FC007E" w:rsidRPr="00FC007E" w:rsidRDefault="00FC007E" w:rsidP="00FC007E">
      <w:pPr>
        <w:spacing w:line="336" w:lineRule="atLeast"/>
        <w:jc w:val="center"/>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Les dossiers reçus après la date limite de candidature ne seront pas recevables pour l’année 2016. Ils pourront être présentés à nouveau et selon les modalités du prochain appel à projets.</w:t>
      </w:r>
      <w:r w:rsidRPr="00FC007E">
        <w:rPr>
          <w:rFonts w:ascii="Verdana" w:eastAsia="Times New Roman" w:hAnsi="Verdana" w:cs="Times New Roman"/>
          <w:color w:val="000000"/>
          <w:sz w:val="24"/>
          <w:szCs w:val="24"/>
          <w:lang w:eastAsia="fr-FR"/>
        </w:rPr>
        <w:br/>
        <w:t>Les porteurs de projet sont invités à déposer leur dossier par anticipation afin d’éviter que des aléas techniques ne viennent compromettre le dépôt de leur candidature dans les délais impartis.</w:t>
      </w:r>
      <w:r w:rsidRPr="00FC007E">
        <w:rPr>
          <w:rFonts w:ascii="Verdana" w:eastAsia="Times New Roman" w:hAnsi="Verdana" w:cs="Times New Roman"/>
          <w:color w:val="000000"/>
          <w:sz w:val="24"/>
          <w:szCs w:val="24"/>
          <w:lang w:eastAsia="fr-FR"/>
        </w:rPr>
        <w:br/>
      </w:r>
      <w:r w:rsidRPr="00FC007E">
        <w:rPr>
          <w:rFonts w:ascii="Arial" w:eastAsia="Times New Roman" w:hAnsi="Arial" w:cs="Arial"/>
          <w:color w:val="000000"/>
          <w:sz w:val="24"/>
          <w:szCs w:val="24"/>
          <w:lang w:eastAsia="fr-FR"/>
        </w:rPr>
        <w:t> </w:t>
      </w:r>
      <w:r w:rsidRPr="00FC007E">
        <w:rPr>
          <w:rFonts w:ascii="Verdana" w:eastAsia="Times New Roman" w:hAnsi="Verdana" w:cs="Times New Roman"/>
          <w:color w:val="000000"/>
          <w:sz w:val="24"/>
          <w:szCs w:val="24"/>
          <w:lang w:eastAsia="fr-FR"/>
        </w:rPr>
        <w:br/>
      </w:r>
      <w:r w:rsidRPr="00FC007E">
        <w:rPr>
          <w:rFonts w:ascii="Verdana" w:eastAsia="Times New Roman" w:hAnsi="Verdana" w:cs="Times New Roman"/>
          <w:color w:val="000000"/>
          <w:sz w:val="24"/>
          <w:szCs w:val="24"/>
          <w:u w:val="single"/>
          <w:lang w:eastAsia="fr-FR"/>
        </w:rPr>
        <w:t>Les documents à joindre au dossier sont téléchargeables en cliquant sur les liens ci-dessous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lastRenderedPageBreak/>
        <w:t>Télécharger : </w:t>
      </w:r>
      <w:hyperlink r:id="rId7" w:history="1">
        <w:r w:rsidRPr="00FC007E">
          <w:rPr>
            <w:rFonts w:ascii="Verdana" w:eastAsia="Times New Roman" w:hAnsi="Verdana" w:cs="Times New Roman"/>
            <w:b/>
            <w:bCs/>
            <w:color w:val="0000FF"/>
            <w:sz w:val="24"/>
            <w:szCs w:val="24"/>
            <w:u w:val="single"/>
            <w:lang w:eastAsia="fr-FR"/>
          </w:rPr>
          <w:t>rapport de présentation type d’un projet PROFAS-C+</w:t>
        </w:r>
      </w:hyperlink>
      <w:r w:rsidRPr="00FC007E">
        <w:rPr>
          <w:rFonts w:ascii="Verdana" w:eastAsia="Times New Roman" w:hAnsi="Verdana" w:cs="Times New Roman"/>
          <w:color w:val="000000"/>
          <w:sz w:val="24"/>
          <w:szCs w:val="24"/>
          <w:lang w:eastAsia="fr-FR"/>
        </w:rPr>
        <w:br/>
        <w:t>Télécharger : </w:t>
      </w:r>
      <w:hyperlink r:id="rId8" w:history="1">
        <w:r w:rsidRPr="00FC007E">
          <w:rPr>
            <w:rFonts w:ascii="Verdana" w:eastAsia="Times New Roman" w:hAnsi="Verdana" w:cs="Times New Roman"/>
            <w:b/>
            <w:bCs/>
            <w:color w:val="0000FF"/>
            <w:sz w:val="24"/>
            <w:szCs w:val="24"/>
            <w:u w:val="single"/>
            <w:lang w:eastAsia="fr-FR"/>
          </w:rPr>
          <w:t>dispositions contractuelles et financières PROFAS-C+</w:t>
        </w:r>
      </w:hyperlink>
      <w:r w:rsidRPr="00FC007E">
        <w:rPr>
          <w:rFonts w:ascii="Verdana" w:eastAsia="Times New Roman" w:hAnsi="Verdana" w:cs="Times New Roman"/>
          <w:color w:val="000000"/>
          <w:sz w:val="24"/>
          <w:szCs w:val="24"/>
          <w:lang w:eastAsia="fr-FR"/>
        </w:rPr>
        <w:br/>
        <w:t>Télécharger : </w:t>
      </w:r>
      <w:hyperlink r:id="rId9" w:history="1">
        <w:r w:rsidRPr="00FC007E">
          <w:rPr>
            <w:rFonts w:ascii="Verdana" w:eastAsia="Times New Roman" w:hAnsi="Verdana" w:cs="Times New Roman"/>
            <w:b/>
            <w:bCs/>
            <w:color w:val="0000FF"/>
            <w:sz w:val="24"/>
            <w:szCs w:val="24"/>
            <w:u w:val="single"/>
            <w:lang w:eastAsia="fr-FR"/>
          </w:rPr>
          <w:t>annexe budgétaire PROFAS-C+</w:t>
        </w:r>
      </w:hyperlink>
    </w:p>
    <w:p w:rsidR="00FC007E" w:rsidRPr="00FC007E" w:rsidRDefault="00FC007E" w:rsidP="00FC007E">
      <w:pPr>
        <w:spacing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b/>
          <w:bCs/>
          <w:color w:val="000000"/>
          <w:sz w:val="24"/>
          <w:szCs w:val="24"/>
          <w:u w:val="single"/>
          <w:lang w:eastAsia="fr-FR"/>
        </w:rPr>
        <w:t>Pour tout renseignement concernant le montage des projets de partenariat institutionnel, veuillez contacter :</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t xml:space="preserve">Pour la partie algérienne </w:t>
      </w:r>
      <w:proofErr w:type="gramStart"/>
      <w:r w:rsidRPr="00FC007E">
        <w:rPr>
          <w:rFonts w:ascii="Verdana" w:eastAsia="Times New Roman" w:hAnsi="Verdana" w:cs="Times New Roman"/>
          <w:color w:val="000000"/>
          <w:sz w:val="24"/>
          <w:szCs w:val="24"/>
          <w:lang w:eastAsia="fr-FR"/>
        </w:rPr>
        <w:t>:</w:t>
      </w:r>
      <w:proofErr w:type="gramEnd"/>
      <w:r w:rsidRPr="00FC007E">
        <w:rPr>
          <w:rFonts w:ascii="Verdana" w:eastAsia="Times New Roman" w:hAnsi="Verdana" w:cs="Times New Roman"/>
          <w:color w:val="000000"/>
          <w:sz w:val="24"/>
          <w:szCs w:val="24"/>
          <w:lang w:eastAsia="fr-FR"/>
        </w:rPr>
        <w:br/>
        <w:t>Madame Karima BENYAHIA, chargée du bureau France coopération culturelle, scientifique et technique : k.Benyahia@mae.dz</w:t>
      </w:r>
    </w:p>
    <w:p w:rsidR="00FC007E" w:rsidRPr="00FC007E" w:rsidRDefault="00FC007E" w:rsidP="00FC007E">
      <w:pPr>
        <w:spacing w:after="0" w:line="336" w:lineRule="atLeast"/>
        <w:rPr>
          <w:rFonts w:ascii="Verdana" w:eastAsia="Times New Roman" w:hAnsi="Verdana" w:cs="Times New Roman"/>
          <w:color w:val="000000"/>
          <w:sz w:val="24"/>
          <w:szCs w:val="24"/>
          <w:lang w:eastAsia="fr-FR"/>
        </w:rPr>
      </w:pPr>
      <w:r w:rsidRPr="00FC007E">
        <w:rPr>
          <w:rFonts w:ascii="Verdana" w:eastAsia="Times New Roman" w:hAnsi="Verdana" w:cs="Times New Roman"/>
          <w:color w:val="000000"/>
          <w:sz w:val="24"/>
          <w:szCs w:val="24"/>
          <w:lang w:eastAsia="fr-FR"/>
        </w:rPr>
        <w:br/>
        <w:t xml:space="preserve">Pour la partie française </w:t>
      </w:r>
      <w:proofErr w:type="gramStart"/>
      <w:r w:rsidRPr="00FC007E">
        <w:rPr>
          <w:rFonts w:ascii="Verdana" w:eastAsia="Times New Roman" w:hAnsi="Verdana" w:cs="Times New Roman"/>
          <w:color w:val="000000"/>
          <w:sz w:val="24"/>
          <w:szCs w:val="24"/>
          <w:lang w:eastAsia="fr-FR"/>
        </w:rPr>
        <w:t>:</w:t>
      </w:r>
      <w:proofErr w:type="gramEnd"/>
      <w:r w:rsidRPr="00FC007E">
        <w:rPr>
          <w:rFonts w:ascii="Verdana" w:eastAsia="Times New Roman" w:hAnsi="Verdana" w:cs="Times New Roman"/>
          <w:color w:val="000000"/>
          <w:sz w:val="24"/>
          <w:szCs w:val="24"/>
          <w:lang w:eastAsia="fr-FR"/>
        </w:rPr>
        <w:br/>
        <w:t>Madame Chloé DAVEZAC, attaché de coopération  institutionnelle :  chloe.davezac@diplomatie.gouv.fr</w:t>
      </w:r>
    </w:p>
    <w:p w:rsidR="009662CC" w:rsidRDefault="009662CC"/>
    <w:sectPr w:rsidR="009662CC" w:rsidSect="009662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DINBOLDTRAM">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606"/>
    <w:multiLevelType w:val="multilevel"/>
    <w:tmpl w:val="3FCA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637E88"/>
    <w:multiLevelType w:val="multilevel"/>
    <w:tmpl w:val="F3A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756FDA"/>
    <w:multiLevelType w:val="multilevel"/>
    <w:tmpl w:val="83C4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00796C"/>
    <w:multiLevelType w:val="multilevel"/>
    <w:tmpl w:val="D552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9F3F83"/>
    <w:multiLevelType w:val="multilevel"/>
    <w:tmpl w:val="7CBA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FF57F4"/>
    <w:multiLevelType w:val="multilevel"/>
    <w:tmpl w:val="EEBA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8F3A91"/>
    <w:multiLevelType w:val="multilevel"/>
    <w:tmpl w:val="358E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223043"/>
    <w:multiLevelType w:val="multilevel"/>
    <w:tmpl w:val="53984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7"/>
  </w:num>
  <w:num w:numId="4">
    <w:abstractNumId w:val="4"/>
  </w:num>
  <w:num w:numId="5">
    <w:abstractNumId w:val="0"/>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FC007E"/>
    <w:rsid w:val="009662CC"/>
    <w:rsid w:val="00FC00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CC"/>
  </w:style>
  <w:style w:type="paragraph" w:styleId="Titre1">
    <w:name w:val="heading 1"/>
    <w:basedOn w:val="Normal"/>
    <w:link w:val="Titre1Car"/>
    <w:uiPriority w:val="9"/>
    <w:qFormat/>
    <w:rsid w:val="00FC0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FC007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FC007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007E"/>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FC007E"/>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FC007E"/>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FC007E"/>
    <w:rPr>
      <w:color w:val="0000FF"/>
      <w:u w:val="single"/>
    </w:rPr>
  </w:style>
  <w:style w:type="paragraph" w:styleId="NormalWeb">
    <w:name w:val="Normal (Web)"/>
    <w:basedOn w:val="Normal"/>
    <w:uiPriority w:val="99"/>
    <w:semiHidden/>
    <w:unhideWhenUsed/>
    <w:rsid w:val="00FC00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007E"/>
    <w:rPr>
      <w:b/>
      <w:bCs/>
    </w:rPr>
  </w:style>
  <w:style w:type="character" w:customStyle="1" w:styleId="apple-converted-space">
    <w:name w:val="apple-converted-space"/>
    <w:basedOn w:val="Policepardfaut"/>
    <w:rsid w:val="00FC007E"/>
  </w:style>
  <w:style w:type="paragraph" w:styleId="Textedebulles">
    <w:name w:val="Balloon Text"/>
    <w:basedOn w:val="Normal"/>
    <w:link w:val="TextedebullesCar"/>
    <w:uiPriority w:val="99"/>
    <w:semiHidden/>
    <w:unhideWhenUsed/>
    <w:rsid w:val="00FC00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00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927390">
      <w:bodyDiv w:val="1"/>
      <w:marLeft w:val="0"/>
      <w:marRight w:val="0"/>
      <w:marTop w:val="0"/>
      <w:marBottom w:val="0"/>
      <w:divBdr>
        <w:top w:val="none" w:sz="0" w:space="0" w:color="auto"/>
        <w:left w:val="none" w:sz="0" w:space="0" w:color="auto"/>
        <w:bottom w:val="none" w:sz="0" w:space="0" w:color="auto"/>
        <w:right w:val="none" w:sz="0" w:space="0" w:color="auto"/>
      </w:divBdr>
      <w:divsChild>
        <w:div w:id="1504931130">
          <w:marLeft w:val="0"/>
          <w:marRight w:val="0"/>
          <w:marTop w:val="0"/>
          <w:marBottom w:val="500"/>
          <w:divBdr>
            <w:top w:val="none" w:sz="0" w:space="0" w:color="auto"/>
            <w:left w:val="none" w:sz="0" w:space="0" w:color="auto"/>
            <w:bottom w:val="none" w:sz="0" w:space="0" w:color="auto"/>
            <w:right w:val="none" w:sz="0" w:space="0" w:color="auto"/>
          </w:divBdr>
        </w:div>
        <w:div w:id="114256523">
          <w:marLeft w:val="0"/>
          <w:marRight w:val="0"/>
          <w:marTop w:val="0"/>
          <w:marBottom w:val="0"/>
          <w:divBdr>
            <w:top w:val="none" w:sz="0" w:space="0" w:color="auto"/>
            <w:left w:val="none" w:sz="0" w:space="0" w:color="auto"/>
            <w:bottom w:val="none" w:sz="0" w:space="0" w:color="auto"/>
            <w:right w:val="none" w:sz="0" w:space="0" w:color="auto"/>
          </w:divBdr>
          <w:divsChild>
            <w:div w:id="1767844329">
              <w:marLeft w:val="0"/>
              <w:marRight w:val="0"/>
              <w:marTop w:val="200"/>
              <w:marBottom w:val="0"/>
              <w:divBdr>
                <w:top w:val="none" w:sz="0" w:space="0" w:color="auto"/>
                <w:left w:val="none" w:sz="0" w:space="0" w:color="auto"/>
                <w:bottom w:val="none" w:sz="0" w:space="0" w:color="auto"/>
                <w:right w:val="none" w:sz="0" w:space="0" w:color="auto"/>
              </w:divBdr>
            </w:div>
            <w:div w:id="86510127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algerie.com/actualites/appels-a-projet/160511-dispositions-contractuelles-et-financieres.docx" TargetMode="External"/><Relationship Id="rId3" Type="http://schemas.openxmlformats.org/officeDocument/2006/relationships/settings" Target="settings.xml"/><Relationship Id="rId7" Type="http://schemas.openxmlformats.org/officeDocument/2006/relationships/hyperlink" Target="http://www.if-algerie.com/actualites/appels-a-projet/160511-rapport-type-de-presentation-dun-proje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f-algerie.com/actualites/appels-a-projet/appel-a-projets-de-partenariat-institutionnel-profas-c/image/image_view_fullscre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f-algerie.com/actualites/appels-a-projet/160511-annexe-budgetaire-profas-c-2.x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1720</Words>
  <Characters>9465</Characters>
  <Application>Microsoft Office Word</Application>
  <DocSecurity>0</DocSecurity>
  <Lines>78</Lines>
  <Paragraphs>22</Paragraphs>
  <ScaleCrop>false</ScaleCrop>
  <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2017-01-09T17:33:00Z</dcterms:created>
  <dcterms:modified xsi:type="dcterms:W3CDTF">2017-01-09T17:34:00Z</dcterms:modified>
</cp:coreProperties>
</file>